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2021 21 vom 16. Juni 2021</w:t>
      </w:r>
    </w:p>
    <w:p>
      <w:r>
        <w:t>GR Gerichte, 2021-06-16, DE</w:t>
      </w:r>
    </w:p>
    <w:p>
      <w:r>
        <w:rPr>
          <w:b/>
        </w:rPr>
        <w:t xml:space="preserve">Quelle: </w:t>
      </w:r>
      <w:r>
        <w:t>https://mcp.opencaselaw.ch/entscheid/gr_gerichte_KSK 2021 21</w:t>
      </w:r>
    </w:p>
    <w:p>
      <w:r>
        <w:t>FR: GR_GERICHTE KSK 2021 21 du 16 juin 2021</w:t>
      </w:r>
    </w:p>
    <w:p>
      <w:r>
        <w:t>IT: GR_GERICHTE KSK 2021 21 del 16 giugno 2021</w:t>
      </w:r>
    </w:p>
    <w:p>
      <w:pPr>
        <w:pStyle w:val="Heading2"/>
      </w:pPr>
      <w:r>
        <w:t>Regeste</w:t>
      </w:r>
    </w:p>
    <w:p>
      <w:r>
        <w:t>Rechtsverzögerung | Aufsicht Rechtsverzögerung/Rechtsverweigerung (SchKG 17 Abs. 3)</w:t>
      </w:r>
    </w:p>
    <w:p>
      <w:pPr>
        <w:pStyle w:val="Heading2"/>
      </w:pPr>
      <w:r>
        <w:t>Erwägungen</w:t>
      </w:r>
    </w:p>
    <w:p>
      <w:r>
        <w:rPr>
          <w:b/>
        </w:rPr>
        <w:t>E. 3</w:t>
      </w:r>
    </w:p>
    <w:p>
      <w:r>
        <w:t>Die Beschwerdelegitimation setzt in der Regel ein aktuelles und praktisches Interesse an der Aufhebung, Änderung oder dem Erlass einer bestimmten Verfü- gung voraus (BGer 5A_920/2017 v. 4.4.2018, E. 3.1). Das Interesse muss im</w:t>
      </w:r>
    </w:p>
    <w:p>
      <w:r>
        <w:rPr>
          <w:b/>
        </w:rPr>
        <w:t>E. 4</w:t>
      </w:r>
    </w:p>
    <w:p>
      <w:r>
        <w:t>/ 6 Zeitpunkt der Entscheidfällung noch vorhanden sein. Ist das schutzwürdige Inter- esse schon bei Einreichung einer Beschwerde nicht gegeben, so wird auf die Be- schwerde nicht eingetreten. Liegt das praktische Interesse im Zeitpunkt der Be- schwerdeerhebung hingegen vor, fällt es aber nachträglich weg, ist der Rechts- streit als gegenstandslos geworden am Geschäftsverzeichnis abzuschreiben.</w:t>
      </w:r>
    </w:p>
    <w:p>
      <w:r>
        <w:rPr>
          <w:b/>
        </w:rPr>
        <w:t>E. 4.1</w:t>
      </w:r>
    </w:p>
    <w:p>
      <w:r>
        <w:t>Vorliegend hat die Beschwerdeführerin diverse Fortsetzungsbegehren ge- stellt, weshalb der Schuldnerin grundsätzlich unverzüglich der Konkurs anzudro- hen ist (Art. 159 SchKG). Hinsichtlich Prämien der obligatorischen Unfallversiche- rung ist die Konkursbetreibung indessen ausgeschlossen (Art. 43 Ziff. 1bis SchKG), weshalb die Betreibung auf Pfändung folgt.</w:t>
      </w:r>
    </w:p>
    <w:p>
      <w:r>
        <w:rPr>
          <w:b/>
        </w:rPr>
        <w:t>E. 4.2</w:t>
      </w:r>
    </w:p>
    <w:p>
      <w:r>
        <w:t>Unterliegt der Schuldner der Betreibung auf Pfändung, hat das Betrei- bungsamt nach Empfang des Fortsetzungsbegehrens unverzüglich die Pfändung zu vollziehen (Art. 89 SchKG), wobei der Schuldner oder sein Vertreter beim Voll- zug persönlich zu befragen sind. Der Schuldner ist bei Straffolge verpflichtet, beim Vollzug persönlich anwesend zu sein oder sich vertreten zu lassen (Art. 91 Abs. 1 SchKG). Ist der Schuldner abwesend (z.B. im Ausland) und lässt er sich nicht ver- treten, ist die Pfändung in seiner Abwesenheit vorzunehmen.</w:t>
      </w:r>
    </w:p>
    <w:p>
      <w:r>
        <w:rPr>
          <w:b/>
        </w:rPr>
        <w:t>E. 4.3</w:t>
      </w:r>
    </w:p>
    <w:p>
      <w:r>
        <w:t>Vorliegend erfolgte die Pfändung offensichtlich nicht unverzüglich, zumal aufgrund der von der Beschwerdeführerin eingereichten Akten erstellt ist, dass das Betreibungsamt mit der Schuldnerin Kontakt über Zahlungen pflegte (vgl. act. B.2). Somit wäre die Beschwerde der Beschwerdeführerin grundsätzlich berech- tigt. Gleichwohl ist auf die Beschwerde nicht einzutreten. Das Betreibungs- und Konkursamt Engiadina Bassa/Val Müstair hat gemäss den mit der Vernehmlas- sung eingereichten Akten die Pfändung am 14. April 2021 vollzogen und eine Pfändungsurkunde ausgestellt (act. E.1.1). Somit erfolgte die mit der Beschwerde anbegehrte Betreibungshandlung bereits vor Einreichung der Beschwerde vom 20. April 2021, weshalb auf die Beschwerde mangels Rechtsschutzinteresse nicht einzutreten ist. Dabei ist nicht von Belang, dass die Beschwerdeführerin erst nach Einreichung der Beschwerdeschrift Kenntnis vom Pfändungsvollzug und der Er- stellung der Pfändungsurkunde erlangte.</w:t>
      </w:r>
    </w:p>
    <w:p>
      <w:r>
        <w:rPr>
          <w:b/>
        </w:rPr>
        <w:t>E. 4.4</w:t>
      </w:r>
    </w:p>
    <w:p>
      <w:r>
        <w:t>Nicht zu prüfen ist, ob die Pfändung vollständig erfolgt ist, insbesondere ob genügend Sachen und Forderungen gepfändet worden sind, nachdem die Pfän- dung nicht angefochten wurde und sich bei der Konkursbetreibung unterliegenden juristischen Personen durchaus Schwierigkeiten ergeben können (vgl. PKG 2006 Nr. 23).</w:t>
      </w:r>
    </w:p>
    <w:p>
      <w:r>
        <w:rPr>
          <w:b/>
        </w:rPr>
        <w:t>E. 5</w:t>
      </w:r>
    </w:p>
    <w:p>
      <w:r>
        <w:t>Gemäss Art. 20a Abs. 2 Ziff. 5 Satz 1 SchKG und Art. 61 Abs. 2 lit. a GebV ist das Beschwerdeverfahren vor der kantonalen Aufsichtsbehörde kostenlos. Die – rein intern zu verbuchenden – Verfahrenskosten von CHF 800.00 verbleiben demnach beim Kanton.</w:t>
      </w:r>
    </w:p>
    <w:p>
      <w:r>
        <w:rPr>
          <w:b/>
        </w:rPr>
        <w:t>E. 6</w:t>
      </w:r>
    </w:p>
    <w:p>
      <w:r>
        <w: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